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B916" w14:textId="77777777" w:rsidR="007F361C" w:rsidRPr="00791105" w:rsidRDefault="007F361C" w:rsidP="00302076">
      <w:pPr>
        <w:pStyle w:val="NoSpacing"/>
        <w:spacing w:line="300" w:lineRule="exact"/>
        <w:jc w:val="both"/>
        <w:rPr>
          <w:rFonts w:cstheme="minorHAnsi"/>
          <w:b/>
          <w:sz w:val="28"/>
        </w:rPr>
      </w:pPr>
      <w:r w:rsidRPr="00791105">
        <w:rPr>
          <w:rFonts w:cstheme="minorHAnsi"/>
          <w:b/>
          <w:sz w:val="28"/>
        </w:rPr>
        <w:t>BARRY-WEHMILLER GROUP UK TAX STRATEGY</w:t>
      </w:r>
    </w:p>
    <w:p w14:paraId="2A5746D4" w14:textId="77777777" w:rsidR="007F361C" w:rsidRDefault="007F361C" w:rsidP="00302076">
      <w:pPr>
        <w:pStyle w:val="NoSpacing"/>
        <w:spacing w:line="300" w:lineRule="exact"/>
        <w:jc w:val="both"/>
        <w:rPr>
          <w:rFonts w:cstheme="minorHAnsi"/>
          <w:b/>
        </w:rPr>
      </w:pPr>
    </w:p>
    <w:p w14:paraId="7144F194" w14:textId="77777777" w:rsidR="00791105" w:rsidRDefault="00791105" w:rsidP="00302076">
      <w:pPr>
        <w:pStyle w:val="NoSpacing"/>
        <w:spacing w:line="300" w:lineRule="exact"/>
        <w:jc w:val="both"/>
        <w:rPr>
          <w:rFonts w:cstheme="minorHAnsi"/>
          <w:b/>
        </w:rPr>
      </w:pPr>
    </w:p>
    <w:p w14:paraId="7CF4AE4D" w14:textId="77777777" w:rsidR="007F361C" w:rsidRDefault="007F361C" w:rsidP="007F361C">
      <w:pPr>
        <w:pStyle w:val="NoSpacing"/>
        <w:numPr>
          <w:ilvl w:val="0"/>
          <w:numId w:val="1"/>
        </w:numPr>
        <w:spacing w:line="300" w:lineRule="exact"/>
        <w:ind w:hanging="720"/>
        <w:jc w:val="both"/>
        <w:rPr>
          <w:rFonts w:cstheme="minorHAnsi"/>
          <w:b/>
        </w:rPr>
      </w:pPr>
      <w:r>
        <w:rPr>
          <w:rFonts w:cstheme="minorHAnsi"/>
          <w:b/>
        </w:rPr>
        <w:t>Introduction</w:t>
      </w:r>
    </w:p>
    <w:p w14:paraId="51CFC3C5" w14:textId="77777777" w:rsidR="007F361C" w:rsidRDefault="007F361C" w:rsidP="007F361C">
      <w:pPr>
        <w:pStyle w:val="NoSpacing"/>
        <w:spacing w:line="300" w:lineRule="exact"/>
        <w:ind w:hanging="720"/>
        <w:jc w:val="both"/>
        <w:rPr>
          <w:rFonts w:cstheme="minorHAnsi"/>
          <w:b/>
        </w:rPr>
      </w:pPr>
    </w:p>
    <w:p w14:paraId="2A9649E3" w14:textId="77777777" w:rsidR="007F361C" w:rsidRPr="007F361C" w:rsidRDefault="007F361C" w:rsidP="007F361C">
      <w:pPr>
        <w:pStyle w:val="NoSpacing"/>
        <w:numPr>
          <w:ilvl w:val="1"/>
          <w:numId w:val="1"/>
        </w:numPr>
        <w:spacing w:line="300" w:lineRule="exact"/>
        <w:ind w:left="709"/>
        <w:jc w:val="both"/>
        <w:rPr>
          <w:rFonts w:cstheme="minorHAnsi"/>
        </w:rPr>
      </w:pPr>
      <w:r>
        <w:rPr>
          <w:rFonts w:cstheme="minorHAnsi"/>
          <w:b/>
        </w:rPr>
        <w:t>Background</w:t>
      </w:r>
    </w:p>
    <w:p w14:paraId="629D63D4" w14:textId="77777777" w:rsidR="007F361C" w:rsidRDefault="007F361C" w:rsidP="007F361C">
      <w:pPr>
        <w:pStyle w:val="NoSpacing"/>
        <w:spacing w:line="300" w:lineRule="exact"/>
        <w:jc w:val="both"/>
        <w:rPr>
          <w:rFonts w:cstheme="minorHAnsi"/>
          <w:b/>
        </w:rPr>
      </w:pPr>
    </w:p>
    <w:p w14:paraId="4B0B981A" w14:textId="77777777" w:rsidR="007F361C" w:rsidRDefault="007F361C" w:rsidP="007F361C">
      <w:pPr>
        <w:pStyle w:val="NoSpacing"/>
        <w:spacing w:line="300" w:lineRule="exact"/>
        <w:ind w:left="709"/>
        <w:jc w:val="both"/>
        <w:rPr>
          <w:rFonts w:cstheme="minorHAnsi"/>
        </w:rPr>
      </w:pPr>
      <w:r>
        <w:rPr>
          <w:rFonts w:cstheme="minorHAnsi"/>
        </w:rPr>
        <w:t>The Barry-Wehmiller Group is a privately owned multi-national enterprise.  The ultimate parent company is Barry-Wehmiller Group Inc which is incorporated in the United States of America.</w:t>
      </w:r>
    </w:p>
    <w:p w14:paraId="16D7005A" w14:textId="77777777" w:rsidR="007F361C" w:rsidRDefault="007F361C" w:rsidP="007F361C">
      <w:pPr>
        <w:pStyle w:val="NoSpacing"/>
        <w:spacing w:line="300" w:lineRule="exact"/>
        <w:ind w:left="709"/>
        <w:jc w:val="both"/>
        <w:rPr>
          <w:rFonts w:cstheme="minorHAnsi"/>
        </w:rPr>
      </w:pPr>
    </w:p>
    <w:p w14:paraId="51354D8B" w14:textId="77777777" w:rsidR="007F361C" w:rsidRDefault="007F361C" w:rsidP="007F361C">
      <w:pPr>
        <w:pStyle w:val="NoSpacing"/>
        <w:spacing w:line="300" w:lineRule="exact"/>
        <w:ind w:left="709"/>
        <w:jc w:val="both"/>
        <w:rPr>
          <w:rFonts w:cstheme="minorHAnsi"/>
        </w:rPr>
      </w:pPr>
      <w:r>
        <w:rPr>
          <w:rFonts w:cstheme="minorHAnsi"/>
        </w:rPr>
        <w:t>The UK sub</w:t>
      </w:r>
      <w:r w:rsidR="0067081B">
        <w:rPr>
          <w:rFonts w:cstheme="minorHAnsi"/>
        </w:rPr>
        <w:t>-group</w:t>
      </w:r>
      <w:r>
        <w:rPr>
          <w:rFonts w:cstheme="minorHAnsi"/>
        </w:rPr>
        <w:t xml:space="preserve"> is comprised of the following </w:t>
      </w:r>
      <w:proofErr w:type="gramStart"/>
      <w:r>
        <w:rPr>
          <w:rFonts w:cstheme="minorHAnsi"/>
        </w:rPr>
        <w:t>companies :</w:t>
      </w:r>
      <w:proofErr w:type="gramEnd"/>
    </w:p>
    <w:p w14:paraId="04ECA6F7" w14:textId="77777777" w:rsidR="007F361C" w:rsidRDefault="007F361C" w:rsidP="007F361C">
      <w:pPr>
        <w:pStyle w:val="NoSpacing"/>
        <w:spacing w:line="300" w:lineRule="exact"/>
        <w:ind w:left="709"/>
        <w:jc w:val="both"/>
        <w:rPr>
          <w:rFonts w:cstheme="minorHAnsi"/>
        </w:rPr>
      </w:pPr>
    </w:p>
    <w:p w14:paraId="05CE0091" w14:textId="77777777" w:rsidR="007F361C" w:rsidRDefault="007F361C" w:rsidP="007F361C">
      <w:pPr>
        <w:pStyle w:val="NoSpacing"/>
        <w:tabs>
          <w:tab w:val="left" w:pos="3402"/>
        </w:tabs>
        <w:spacing w:line="300" w:lineRule="exact"/>
        <w:ind w:left="709"/>
        <w:jc w:val="both"/>
        <w:rPr>
          <w:rFonts w:cstheme="minorHAnsi"/>
        </w:rPr>
      </w:pPr>
      <w:r>
        <w:rPr>
          <w:rFonts w:cstheme="minorHAnsi"/>
        </w:rPr>
        <w:t>Active Companies :</w:t>
      </w:r>
      <w:r>
        <w:rPr>
          <w:rFonts w:cstheme="minorHAnsi"/>
        </w:rPr>
        <w:tab/>
        <w:t>Accraply Europe Limited</w:t>
      </w:r>
    </w:p>
    <w:p w14:paraId="4AF85BF2"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Apollo Sheeters Limited</w:t>
      </w:r>
    </w:p>
    <w:p w14:paraId="34EC1F44"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Baldwin Technology Limited</w:t>
      </w:r>
    </w:p>
    <w:p w14:paraId="61785110"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BW Flexible Systems UK Limited</w:t>
      </w:r>
    </w:p>
    <w:p w14:paraId="5FCAB917"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BW Integrated Systems UK Limited</w:t>
      </w:r>
    </w:p>
    <w:p w14:paraId="7F2B7EDE"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Paper Converting Machine Company Limited</w:t>
      </w:r>
    </w:p>
    <w:p w14:paraId="42AF10D8"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PneumaticScaleAngelus of the UK Limited</w:t>
      </w:r>
    </w:p>
    <w:p w14:paraId="51261498" w14:textId="77777777" w:rsidR="00773814" w:rsidRDefault="00773814" w:rsidP="007F361C">
      <w:pPr>
        <w:pStyle w:val="NoSpacing"/>
        <w:tabs>
          <w:tab w:val="left" w:pos="3402"/>
        </w:tabs>
        <w:spacing w:line="300" w:lineRule="exact"/>
        <w:ind w:left="709"/>
        <w:jc w:val="both"/>
        <w:rPr>
          <w:rFonts w:cstheme="minorHAnsi"/>
        </w:rPr>
      </w:pPr>
      <w:r>
        <w:rPr>
          <w:rFonts w:cstheme="minorHAnsi"/>
        </w:rPr>
        <w:tab/>
      </w:r>
      <w:proofErr w:type="spellStart"/>
      <w:r>
        <w:rPr>
          <w:rFonts w:cstheme="minorHAnsi"/>
        </w:rPr>
        <w:t>Quadtech</w:t>
      </w:r>
      <w:proofErr w:type="spellEnd"/>
      <w:r>
        <w:rPr>
          <w:rFonts w:cstheme="minorHAnsi"/>
        </w:rPr>
        <w:t xml:space="preserve"> UK Limited</w:t>
      </w:r>
    </w:p>
    <w:p w14:paraId="3CF0FB2A" w14:textId="77777777" w:rsidR="007F361C" w:rsidRDefault="007F361C" w:rsidP="007F361C">
      <w:pPr>
        <w:pStyle w:val="NoSpacing"/>
        <w:tabs>
          <w:tab w:val="left" w:pos="3402"/>
        </w:tabs>
        <w:spacing w:line="300" w:lineRule="exact"/>
        <w:ind w:left="709"/>
        <w:jc w:val="both"/>
        <w:rPr>
          <w:rFonts w:cstheme="minorHAnsi"/>
        </w:rPr>
      </w:pPr>
    </w:p>
    <w:p w14:paraId="03E03BF9" w14:textId="77777777" w:rsidR="007F361C" w:rsidRDefault="007F361C" w:rsidP="00773814">
      <w:pPr>
        <w:pStyle w:val="NoSpacing"/>
        <w:tabs>
          <w:tab w:val="left" w:pos="3402"/>
        </w:tabs>
        <w:spacing w:line="300" w:lineRule="exact"/>
        <w:ind w:left="709"/>
        <w:jc w:val="both"/>
        <w:rPr>
          <w:rFonts w:cstheme="minorHAnsi"/>
        </w:rPr>
      </w:pPr>
      <w:r>
        <w:rPr>
          <w:rFonts w:cstheme="minorHAnsi"/>
        </w:rPr>
        <w:t xml:space="preserve">Inactive </w:t>
      </w:r>
      <w:proofErr w:type="gramStart"/>
      <w:r>
        <w:rPr>
          <w:rFonts w:cstheme="minorHAnsi"/>
        </w:rPr>
        <w:t>Companies :</w:t>
      </w:r>
      <w:proofErr w:type="gramEnd"/>
      <w:r>
        <w:rPr>
          <w:rFonts w:cstheme="minorHAnsi"/>
        </w:rPr>
        <w:tab/>
      </w:r>
      <w:proofErr w:type="spellStart"/>
      <w:r>
        <w:rPr>
          <w:rFonts w:cstheme="minorHAnsi"/>
        </w:rPr>
        <w:t>Acrotec</w:t>
      </w:r>
      <w:proofErr w:type="spellEnd"/>
      <w:r>
        <w:rPr>
          <w:rFonts w:cstheme="minorHAnsi"/>
        </w:rPr>
        <w:t xml:space="preserve"> UK Limited</w:t>
      </w:r>
      <w:r w:rsidR="00773814">
        <w:rPr>
          <w:rFonts w:cstheme="minorHAnsi"/>
        </w:rPr>
        <w:t xml:space="preserve"> </w:t>
      </w:r>
      <w:r w:rsidR="00773814" w:rsidRPr="00773814">
        <w:rPr>
          <w:rFonts w:cstheme="minorHAnsi"/>
          <w:i/>
        </w:rPr>
        <w:t>(in Liquidation)</w:t>
      </w:r>
    </w:p>
    <w:p w14:paraId="4C697E65" w14:textId="77777777" w:rsidR="00773814" w:rsidRDefault="007F361C" w:rsidP="00773814">
      <w:pPr>
        <w:pStyle w:val="NoSpacing"/>
        <w:tabs>
          <w:tab w:val="left" w:pos="3402"/>
        </w:tabs>
        <w:spacing w:line="300" w:lineRule="exact"/>
        <w:ind w:left="709"/>
        <w:jc w:val="both"/>
        <w:rPr>
          <w:rFonts w:cstheme="minorHAnsi"/>
        </w:rPr>
      </w:pPr>
      <w:r>
        <w:rPr>
          <w:rFonts w:cstheme="minorHAnsi"/>
        </w:rPr>
        <w:tab/>
        <w:t xml:space="preserve">Baldwin UK Holding </w:t>
      </w:r>
      <w:r w:rsidR="00773814">
        <w:rPr>
          <w:rFonts w:cstheme="minorHAnsi"/>
        </w:rPr>
        <w:t xml:space="preserve">Limited </w:t>
      </w:r>
      <w:r w:rsidR="00773814" w:rsidRPr="00773814">
        <w:rPr>
          <w:rFonts w:cstheme="minorHAnsi"/>
          <w:i/>
        </w:rPr>
        <w:t>(in Liquidation)</w:t>
      </w:r>
    </w:p>
    <w:p w14:paraId="0622D8B7" w14:textId="77777777" w:rsidR="00773814" w:rsidRDefault="007F361C" w:rsidP="00773814">
      <w:pPr>
        <w:pStyle w:val="NoSpacing"/>
        <w:tabs>
          <w:tab w:val="left" w:pos="3402"/>
        </w:tabs>
        <w:spacing w:line="300" w:lineRule="exact"/>
        <w:ind w:left="709"/>
        <w:jc w:val="both"/>
        <w:rPr>
          <w:rFonts w:cstheme="minorHAnsi"/>
        </w:rPr>
      </w:pPr>
      <w:r>
        <w:rPr>
          <w:rFonts w:cstheme="minorHAnsi"/>
        </w:rPr>
        <w:tab/>
        <w:t xml:space="preserve">Baldwin (UK) </w:t>
      </w:r>
      <w:r w:rsidR="00773814">
        <w:rPr>
          <w:rFonts w:cstheme="minorHAnsi"/>
        </w:rPr>
        <w:t xml:space="preserve">Limited </w:t>
      </w:r>
      <w:r w:rsidR="00773814" w:rsidRPr="00773814">
        <w:rPr>
          <w:rFonts w:cstheme="minorHAnsi"/>
          <w:i/>
        </w:rPr>
        <w:t>(in Liquidation)</w:t>
      </w:r>
    </w:p>
    <w:p w14:paraId="01E086CD" w14:textId="77777777" w:rsidR="007F361C" w:rsidRDefault="007F361C" w:rsidP="007F361C">
      <w:pPr>
        <w:pStyle w:val="NoSpacing"/>
        <w:tabs>
          <w:tab w:val="left" w:pos="3402"/>
        </w:tabs>
        <w:spacing w:line="300" w:lineRule="exact"/>
        <w:ind w:left="709"/>
        <w:jc w:val="both"/>
        <w:rPr>
          <w:rFonts w:cstheme="minorHAnsi"/>
        </w:rPr>
      </w:pPr>
      <w:r>
        <w:rPr>
          <w:rFonts w:cstheme="minorHAnsi"/>
        </w:rPr>
        <w:tab/>
        <w:t>Primarc Limited</w:t>
      </w:r>
    </w:p>
    <w:p w14:paraId="1DA0214B" w14:textId="77777777" w:rsidR="007F361C" w:rsidRDefault="007F361C" w:rsidP="007F361C">
      <w:pPr>
        <w:pStyle w:val="NoSpacing"/>
        <w:tabs>
          <w:tab w:val="left" w:pos="3402"/>
        </w:tabs>
        <w:spacing w:line="300" w:lineRule="exact"/>
        <w:ind w:left="709"/>
        <w:jc w:val="both"/>
        <w:rPr>
          <w:rFonts w:cstheme="minorHAnsi"/>
        </w:rPr>
      </w:pPr>
    </w:p>
    <w:p w14:paraId="232A0448" w14:textId="77777777" w:rsidR="007F361C" w:rsidRDefault="007F361C" w:rsidP="007F361C">
      <w:pPr>
        <w:pStyle w:val="NoSpacing"/>
        <w:tabs>
          <w:tab w:val="left" w:pos="3402"/>
        </w:tabs>
        <w:spacing w:line="300" w:lineRule="exact"/>
        <w:ind w:left="709"/>
        <w:jc w:val="both"/>
        <w:rPr>
          <w:rFonts w:cstheme="minorHAnsi"/>
        </w:rPr>
      </w:pPr>
      <w:r>
        <w:rPr>
          <w:rFonts w:cstheme="minorHAnsi"/>
        </w:rPr>
        <w:t>This document sets out the strategic tax objectives of the UK sub-group.</w:t>
      </w:r>
    </w:p>
    <w:p w14:paraId="1DF2F3F5" w14:textId="77777777" w:rsidR="007F361C" w:rsidRDefault="007F361C" w:rsidP="007F361C">
      <w:pPr>
        <w:pStyle w:val="NoSpacing"/>
        <w:tabs>
          <w:tab w:val="left" w:pos="3402"/>
        </w:tabs>
        <w:spacing w:line="300" w:lineRule="exact"/>
        <w:ind w:left="709"/>
        <w:jc w:val="both"/>
        <w:rPr>
          <w:rFonts w:cstheme="minorHAnsi"/>
        </w:rPr>
      </w:pPr>
    </w:p>
    <w:p w14:paraId="0C85C185" w14:textId="77777777" w:rsidR="007F361C" w:rsidRPr="007F361C" w:rsidRDefault="007F361C" w:rsidP="007F361C">
      <w:pPr>
        <w:pStyle w:val="NoSpacing"/>
        <w:numPr>
          <w:ilvl w:val="1"/>
          <w:numId w:val="1"/>
        </w:numPr>
        <w:spacing w:line="300" w:lineRule="exact"/>
        <w:ind w:left="709" w:hanging="709"/>
        <w:jc w:val="both"/>
        <w:rPr>
          <w:rFonts w:cstheme="minorHAnsi"/>
        </w:rPr>
      </w:pPr>
      <w:r>
        <w:rPr>
          <w:rFonts w:cstheme="minorHAnsi"/>
          <w:b/>
        </w:rPr>
        <w:t>Approval</w:t>
      </w:r>
    </w:p>
    <w:p w14:paraId="025DB1AF" w14:textId="77777777" w:rsidR="007F361C" w:rsidRDefault="007F361C" w:rsidP="007F361C">
      <w:pPr>
        <w:pStyle w:val="NoSpacing"/>
        <w:spacing w:line="300" w:lineRule="exact"/>
        <w:jc w:val="both"/>
        <w:rPr>
          <w:rFonts w:cstheme="minorHAnsi"/>
          <w:b/>
        </w:rPr>
      </w:pPr>
    </w:p>
    <w:p w14:paraId="5F763A0C" w14:textId="77777777" w:rsidR="007F361C" w:rsidRDefault="007F361C" w:rsidP="007F361C">
      <w:pPr>
        <w:pStyle w:val="NoSpacing"/>
        <w:spacing w:line="300" w:lineRule="exact"/>
        <w:ind w:left="709"/>
        <w:jc w:val="both"/>
        <w:rPr>
          <w:rFonts w:cstheme="minorHAnsi"/>
        </w:rPr>
      </w:pPr>
      <w:r>
        <w:rPr>
          <w:rFonts w:cstheme="minorHAnsi"/>
        </w:rPr>
        <w:t xml:space="preserve">The Group’s Finance Director is responsible for leading the Tax Strategy.  The strategy is approved by the Board of Directors of Barry-Wehmiller Group Inc.  The document will be periodically reviewed and any amendments will be approved by the Board of Directors.  It is effective for </w:t>
      </w:r>
      <w:r w:rsidR="00773814">
        <w:rPr>
          <w:rFonts w:cstheme="minorHAnsi"/>
        </w:rPr>
        <w:t>the year ended 30 September 2020</w:t>
      </w:r>
      <w:r>
        <w:rPr>
          <w:rFonts w:cstheme="minorHAnsi"/>
        </w:rPr>
        <w:t>.</w:t>
      </w:r>
    </w:p>
    <w:p w14:paraId="559DD665" w14:textId="77777777" w:rsidR="007F361C" w:rsidRDefault="007F361C" w:rsidP="007F361C">
      <w:pPr>
        <w:pStyle w:val="NoSpacing"/>
        <w:spacing w:line="300" w:lineRule="exact"/>
        <w:ind w:left="709"/>
        <w:jc w:val="both"/>
        <w:rPr>
          <w:rFonts w:cstheme="minorHAnsi"/>
        </w:rPr>
      </w:pPr>
    </w:p>
    <w:p w14:paraId="2336D116" w14:textId="77777777" w:rsidR="007F361C" w:rsidRDefault="007F361C" w:rsidP="007F361C">
      <w:pPr>
        <w:pStyle w:val="NoSpacing"/>
        <w:numPr>
          <w:ilvl w:val="0"/>
          <w:numId w:val="1"/>
        </w:numPr>
        <w:spacing w:line="300" w:lineRule="exact"/>
        <w:ind w:hanging="720"/>
        <w:jc w:val="both"/>
        <w:rPr>
          <w:rFonts w:cstheme="minorHAnsi"/>
          <w:b/>
        </w:rPr>
      </w:pPr>
      <w:r>
        <w:rPr>
          <w:rFonts w:cstheme="minorHAnsi"/>
          <w:b/>
        </w:rPr>
        <w:t>Our Strategy</w:t>
      </w:r>
    </w:p>
    <w:p w14:paraId="08FFFE28" w14:textId="77777777" w:rsidR="007F361C" w:rsidRDefault="007F361C" w:rsidP="007F361C">
      <w:pPr>
        <w:pStyle w:val="NoSpacing"/>
        <w:spacing w:line="300" w:lineRule="exact"/>
        <w:ind w:hanging="720"/>
        <w:jc w:val="both"/>
        <w:rPr>
          <w:rFonts w:cstheme="minorHAnsi"/>
          <w:b/>
        </w:rPr>
      </w:pPr>
    </w:p>
    <w:p w14:paraId="5FC5EABE" w14:textId="77777777" w:rsidR="007F361C" w:rsidRDefault="00DE56C1" w:rsidP="00DE56C1">
      <w:pPr>
        <w:pStyle w:val="NoSpacing"/>
        <w:numPr>
          <w:ilvl w:val="1"/>
          <w:numId w:val="1"/>
        </w:numPr>
        <w:spacing w:line="300" w:lineRule="exact"/>
        <w:ind w:left="709" w:hanging="709"/>
        <w:jc w:val="both"/>
        <w:rPr>
          <w:rFonts w:cstheme="minorHAnsi"/>
          <w:b/>
        </w:rPr>
      </w:pPr>
      <w:r>
        <w:rPr>
          <w:rFonts w:cstheme="minorHAnsi"/>
          <w:b/>
        </w:rPr>
        <w:t>S</w:t>
      </w:r>
      <w:r w:rsidR="007F361C">
        <w:rPr>
          <w:rFonts w:cstheme="minorHAnsi"/>
          <w:b/>
        </w:rPr>
        <w:t>ummary</w:t>
      </w:r>
    </w:p>
    <w:p w14:paraId="46CB6D4A" w14:textId="77777777" w:rsidR="007F361C" w:rsidRDefault="007F361C" w:rsidP="007F361C">
      <w:pPr>
        <w:pStyle w:val="NoSpacing"/>
        <w:spacing w:line="300" w:lineRule="exact"/>
        <w:jc w:val="both"/>
        <w:rPr>
          <w:rFonts w:cstheme="minorHAnsi"/>
          <w:b/>
        </w:rPr>
      </w:pPr>
    </w:p>
    <w:p w14:paraId="052C89CD" w14:textId="3E058047" w:rsidR="00DE56C1" w:rsidRDefault="00DE56C1" w:rsidP="00DE56C1">
      <w:pPr>
        <w:pStyle w:val="NoSpacing"/>
        <w:spacing w:line="300" w:lineRule="exact"/>
        <w:ind w:left="709"/>
        <w:jc w:val="both"/>
        <w:rPr>
          <w:rFonts w:cstheme="minorHAnsi"/>
        </w:rPr>
      </w:pPr>
      <w:r>
        <w:rPr>
          <w:rFonts w:cstheme="minorHAnsi"/>
        </w:rPr>
        <w:t xml:space="preserve">The </w:t>
      </w:r>
      <w:r w:rsidR="0067081B">
        <w:rPr>
          <w:rFonts w:cstheme="minorHAnsi"/>
        </w:rPr>
        <w:t>G</w:t>
      </w:r>
      <w:r>
        <w:rPr>
          <w:rFonts w:cstheme="minorHAnsi"/>
        </w:rPr>
        <w:t xml:space="preserve">roup is committed to paying the </w:t>
      </w:r>
      <w:r w:rsidR="007904E9">
        <w:rPr>
          <w:rFonts w:cstheme="minorHAnsi"/>
        </w:rPr>
        <w:t xml:space="preserve">required </w:t>
      </w:r>
      <w:r>
        <w:rPr>
          <w:rFonts w:cstheme="minorHAnsi"/>
        </w:rPr>
        <w:t>amount of tax required under the laws and regulations of UK tax legislation and practice.  It takes a conservative approach to tax planning, and does not pursue aggressive t</w:t>
      </w:r>
      <w:r w:rsidR="0067081B">
        <w:rPr>
          <w:rFonts w:cstheme="minorHAnsi"/>
        </w:rPr>
        <w:t>ax planning arrangements.  The G</w:t>
      </w:r>
      <w:r>
        <w:rPr>
          <w:rFonts w:cstheme="minorHAnsi"/>
        </w:rPr>
        <w:t>roup uses third party advisors to provide advice and guidance necessary to assess tax risks and ensure its compliance with applicable laws, rules, regulations and reporting and disclosure requirements.</w:t>
      </w:r>
    </w:p>
    <w:p w14:paraId="18AF2FC1" w14:textId="77777777" w:rsidR="00DE56C1" w:rsidRDefault="00DE56C1" w:rsidP="00DE56C1">
      <w:pPr>
        <w:pStyle w:val="NoSpacing"/>
        <w:spacing w:line="300" w:lineRule="exact"/>
        <w:ind w:left="709"/>
        <w:jc w:val="both"/>
        <w:rPr>
          <w:rFonts w:cstheme="minorHAnsi"/>
        </w:rPr>
      </w:pPr>
    </w:p>
    <w:p w14:paraId="13C7AE05" w14:textId="77777777" w:rsidR="00791105" w:rsidRDefault="00791105" w:rsidP="00DE56C1">
      <w:pPr>
        <w:pStyle w:val="NoSpacing"/>
        <w:spacing w:line="300" w:lineRule="exact"/>
        <w:ind w:left="709"/>
        <w:jc w:val="both"/>
        <w:rPr>
          <w:rFonts w:cstheme="minorHAnsi"/>
        </w:rPr>
      </w:pPr>
    </w:p>
    <w:p w14:paraId="6E6BC46A" w14:textId="77777777" w:rsidR="00791105" w:rsidRDefault="00791105" w:rsidP="00DE56C1">
      <w:pPr>
        <w:pStyle w:val="NoSpacing"/>
        <w:spacing w:line="300" w:lineRule="exact"/>
        <w:ind w:left="709"/>
        <w:jc w:val="both"/>
        <w:rPr>
          <w:rFonts w:cstheme="minorHAnsi"/>
        </w:rPr>
      </w:pPr>
    </w:p>
    <w:p w14:paraId="375B051A" w14:textId="77777777" w:rsidR="00791105" w:rsidRDefault="00791105" w:rsidP="00DE56C1">
      <w:pPr>
        <w:pStyle w:val="NoSpacing"/>
        <w:spacing w:line="300" w:lineRule="exact"/>
        <w:ind w:left="709"/>
        <w:jc w:val="both"/>
        <w:rPr>
          <w:rFonts w:cstheme="minorHAnsi"/>
        </w:rPr>
      </w:pPr>
    </w:p>
    <w:p w14:paraId="39DF942E" w14:textId="77777777" w:rsidR="00791105" w:rsidRDefault="00791105" w:rsidP="00DE56C1">
      <w:pPr>
        <w:pStyle w:val="NoSpacing"/>
        <w:spacing w:line="300" w:lineRule="exact"/>
        <w:ind w:left="709"/>
        <w:jc w:val="both"/>
        <w:rPr>
          <w:rFonts w:cstheme="minorHAnsi"/>
        </w:rPr>
      </w:pPr>
    </w:p>
    <w:p w14:paraId="51448B77" w14:textId="77777777" w:rsidR="00DE56C1" w:rsidRDefault="00DE56C1" w:rsidP="00DE56C1">
      <w:pPr>
        <w:pStyle w:val="NoSpacing"/>
        <w:numPr>
          <w:ilvl w:val="1"/>
          <w:numId w:val="1"/>
        </w:numPr>
        <w:spacing w:line="300" w:lineRule="exact"/>
        <w:ind w:left="709" w:hanging="709"/>
        <w:jc w:val="both"/>
        <w:rPr>
          <w:rFonts w:cstheme="minorHAnsi"/>
        </w:rPr>
      </w:pPr>
      <w:r>
        <w:rPr>
          <w:rFonts w:cstheme="minorHAnsi"/>
          <w:b/>
        </w:rPr>
        <w:lastRenderedPageBreak/>
        <w:t>Tax Objectives</w:t>
      </w:r>
    </w:p>
    <w:p w14:paraId="4DA73D81" w14:textId="77777777" w:rsidR="00DE56C1" w:rsidRDefault="00DE56C1" w:rsidP="00DE56C1">
      <w:pPr>
        <w:pStyle w:val="NoSpacing"/>
        <w:spacing w:line="300" w:lineRule="exact"/>
        <w:jc w:val="both"/>
        <w:rPr>
          <w:rFonts w:cstheme="minorHAnsi"/>
        </w:rPr>
      </w:pPr>
    </w:p>
    <w:p w14:paraId="23EF5F92" w14:textId="77777777" w:rsidR="00DE56C1" w:rsidRDefault="00DE56C1" w:rsidP="00DE56C1">
      <w:pPr>
        <w:pStyle w:val="NoSpacing"/>
        <w:spacing w:line="300" w:lineRule="exact"/>
        <w:ind w:left="709"/>
        <w:jc w:val="both"/>
        <w:rPr>
          <w:rFonts w:cstheme="minorHAnsi"/>
        </w:rPr>
      </w:pPr>
      <w:r>
        <w:rPr>
          <w:rFonts w:cstheme="minorHAnsi"/>
          <w:b/>
        </w:rPr>
        <w:t>Approach to risk management and governance arrangements in relation to UK taxation</w:t>
      </w:r>
    </w:p>
    <w:p w14:paraId="3132387C" w14:textId="77777777" w:rsidR="00DE56C1" w:rsidRDefault="00DE56C1" w:rsidP="00DE56C1">
      <w:pPr>
        <w:pStyle w:val="NoSpacing"/>
        <w:spacing w:line="300" w:lineRule="exact"/>
        <w:ind w:left="709"/>
        <w:jc w:val="both"/>
        <w:rPr>
          <w:rFonts w:cstheme="minorHAnsi"/>
        </w:rPr>
      </w:pPr>
    </w:p>
    <w:p w14:paraId="6EADBBB8" w14:textId="77777777" w:rsidR="00DE56C1" w:rsidRDefault="00DE56C1" w:rsidP="00DE56C1">
      <w:pPr>
        <w:pStyle w:val="NoSpacing"/>
        <w:spacing w:line="300" w:lineRule="exact"/>
        <w:ind w:left="709"/>
        <w:jc w:val="both"/>
        <w:rPr>
          <w:rFonts w:cstheme="minorHAnsi"/>
        </w:rPr>
      </w:pPr>
      <w:r>
        <w:rPr>
          <w:rFonts w:cstheme="minorHAnsi"/>
        </w:rPr>
        <w:t xml:space="preserve">The </w:t>
      </w:r>
      <w:r w:rsidR="0067081B">
        <w:rPr>
          <w:rFonts w:cstheme="minorHAnsi"/>
        </w:rPr>
        <w:t>G</w:t>
      </w:r>
      <w:r>
        <w:rPr>
          <w:rFonts w:cstheme="minorHAnsi"/>
        </w:rPr>
        <w:t xml:space="preserve">roup will operate effective tax governance, understanding the tax risks in place and ensure that senior personnel with the appropriate skill and experience are involved in key tax decisions.  </w:t>
      </w:r>
    </w:p>
    <w:p w14:paraId="1A077769" w14:textId="77777777" w:rsidR="00DE56C1" w:rsidRDefault="00DE56C1" w:rsidP="00DE56C1">
      <w:pPr>
        <w:pStyle w:val="NoSpacing"/>
        <w:spacing w:line="300" w:lineRule="exact"/>
        <w:ind w:left="709"/>
        <w:jc w:val="both"/>
        <w:rPr>
          <w:rFonts w:cstheme="minorHAnsi"/>
        </w:rPr>
      </w:pPr>
    </w:p>
    <w:p w14:paraId="2B7CAA79" w14:textId="77777777" w:rsidR="00DE56C1" w:rsidRDefault="00DE56C1" w:rsidP="00DE56C1">
      <w:pPr>
        <w:pStyle w:val="NoSpacing"/>
        <w:spacing w:line="300" w:lineRule="exact"/>
        <w:ind w:left="709"/>
        <w:jc w:val="both"/>
        <w:rPr>
          <w:rFonts w:cstheme="minorHAnsi"/>
        </w:rPr>
      </w:pPr>
      <w:r>
        <w:rPr>
          <w:rFonts w:cstheme="minorHAnsi"/>
        </w:rPr>
        <w:t xml:space="preserve">The </w:t>
      </w:r>
      <w:r w:rsidR="0067081B">
        <w:rPr>
          <w:rFonts w:cstheme="minorHAnsi"/>
        </w:rPr>
        <w:t>G</w:t>
      </w:r>
      <w:r>
        <w:rPr>
          <w:rFonts w:cstheme="minorHAnsi"/>
        </w:rPr>
        <w:t xml:space="preserve">roup uses third party advisors to provide advice and </w:t>
      </w:r>
      <w:r w:rsidR="0067081B">
        <w:rPr>
          <w:rFonts w:cstheme="minorHAnsi"/>
        </w:rPr>
        <w:t xml:space="preserve">the </w:t>
      </w:r>
      <w:r>
        <w:rPr>
          <w:rFonts w:cstheme="minorHAnsi"/>
        </w:rPr>
        <w:t>guidance necessary to assess tax risks and ensure its compliance to applicable laws, rules, regulations and reporting and disclosure requirements.</w:t>
      </w:r>
    </w:p>
    <w:p w14:paraId="68A4A7B1" w14:textId="77777777" w:rsidR="00DE56C1" w:rsidRDefault="00DE56C1" w:rsidP="00DE56C1">
      <w:pPr>
        <w:pStyle w:val="NoSpacing"/>
        <w:spacing w:line="300" w:lineRule="exact"/>
        <w:ind w:left="709"/>
        <w:jc w:val="both"/>
        <w:rPr>
          <w:rFonts w:cstheme="minorHAnsi"/>
        </w:rPr>
      </w:pPr>
    </w:p>
    <w:p w14:paraId="0FC212F0" w14:textId="77777777" w:rsidR="00DE56C1" w:rsidRDefault="00DE56C1" w:rsidP="00DE56C1">
      <w:pPr>
        <w:pStyle w:val="NoSpacing"/>
        <w:spacing w:line="300" w:lineRule="exact"/>
        <w:ind w:left="709"/>
        <w:jc w:val="both"/>
        <w:rPr>
          <w:rFonts w:cstheme="minorHAnsi"/>
        </w:rPr>
      </w:pPr>
      <w:r>
        <w:rPr>
          <w:rFonts w:cstheme="minorHAnsi"/>
        </w:rPr>
        <w:t xml:space="preserve">The </w:t>
      </w:r>
      <w:r w:rsidR="0067081B">
        <w:rPr>
          <w:rFonts w:cstheme="minorHAnsi"/>
        </w:rPr>
        <w:t>G</w:t>
      </w:r>
      <w:r>
        <w:rPr>
          <w:rFonts w:cstheme="minorHAnsi"/>
        </w:rPr>
        <w:t xml:space="preserve">roup wants to ensure that it pays an appropriate amount of tax in relation to its commercial activities.  It does not engage in aggressive tax planning arrangements, and believes that it is conservative in its approach to tax planning, applying tax rules and regulations in a way that it considers </w:t>
      </w:r>
      <w:r w:rsidR="0067081B">
        <w:rPr>
          <w:rFonts w:cstheme="minorHAnsi"/>
        </w:rPr>
        <w:t xml:space="preserve">is consistent </w:t>
      </w:r>
      <w:r>
        <w:rPr>
          <w:rFonts w:cstheme="minorHAnsi"/>
        </w:rPr>
        <w:t>with parliament’s intention, and HMRC expectations.</w:t>
      </w:r>
    </w:p>
    <w:p w14:paraId="235D284D" w14:textId="77777777" w:rsidR="00DE56C1" w:rsidRDefault="00DE56C1" w:rsidP="00DE56C1">
      <w:pPr>
        <w:pStyle w:val="NoSpacing"/>
        <w:spacing w:line="300" w:lineRule="exact"/>
        <w:ind w:left="709"/>
        <w:jc w:val="both"/>
        <w:rPr>
          <w:rFonts w:cstheme="minorHAnsi"/>
        </w:rPr>
      </w:pPr>
    </w:p>
    <w:p w14:paraId="47DFE4C5" w14:textId="3BB83E60" w:rsidR="00DE56C1" w:rsidRDefault="00DE56C1" w:rsidP="00DE56C1">
      <w:pPr>
        <w:pStyle w:val="NoSpacing"/>
        <w:spacing w:line="300" w:lineRule="exact"/>
        <w:ind w:left="709"/>
        <w:jc w:val="both"/>
        <w:rPr>
          <w:rFonts w:cstheme="minorHAnsi"/>
        </w:rPr>
      </w:pPr>
      <w:r>
        <w:rPr>
          <w:rFonts w:cstheme="minorHAnsi"/>
        </w:rPr>
        <w:t xml:space="preserve">The </w:t>
      </w:r>
      <w:r w:rsidR="0067081B">
        <w:rPr>
          <w:rFonts w:cstheme="minorHAnsi"/>
        </w:rPr>
        <w:t>G</w:t>
      </w:r>
      <w:r>
        <w:rPr>
          <w:rFonts w:cstheme="minorHAnsi"/>
        </w:rPr>
        <w:t>roup has a</w:t>
      </w:r>
      <w:bookmarkStart w:id="0" w:name="_GoBack"/>
      <w:bookmarkEnd w:id="0"/>
      <w:r>
        <w:rPr>
          <w:rFonts w:cstheme="minorHAnsi"/>
        </w:rPr>
        <w:t xml:space="preserve"> </w:t>
      </w:r>
      <w:r w:rsidR="00791105">
        <w:rPr>
          <w:rFonts w:cstheme="minorHAnsi"/>
        </w:rPr>
        <w:t>capable finance team.  All staff have clear roles and responsibilities to assist in compliance with tax (and financial) requirements.</w:t>
      </w:r>
    </w:p>
    <w:p w14:paraId="73582863" w14:textId="77777777" w:rsidR="00791105" w:rsidRDefault="00791105" w:rsidP="00DE56C1">
      <w:pPr>
        <w:pStyle w:val="NoSpacing"/>
        <w:spacing w:line="300" w:lineRule="exact"/>
        <w:ind w:left="709"/>
        <w:jc w:val="both"/>
        <w:rPr>
          <w:rFonts w:cstheme="minorHAnsi"/>
        </w:rPr>
      </w:pPr>
    </w:p>
    <w:p w14:paraId="18126177" w14:textId="77777777" w:rsidR="00791105" w:rsidRDefault="00791105" w:rsidP="00DE56C1">
      <w:pPr>
        <w:pStyle w:val="NoSpacing"/>
        <w:spacing w:line="300" w:lineRule="exact"/>
        <w:ind w:left="709"/>
        <w:jc w:val="both"/>
        <w:rPr>
          <w:rFonts w:cstheme="minorHAnsi"/>
        </w:rPr>
      </w:pPr>
      <w:r>
        <w:rPr>
          <w:rFonts w:cstheme="minorHAnsi"/>
        </w:rPr>
        <w:t>In cases involving more difficult areas of tax, advice is sought from the external professional advisors as to the appropriate application of the tax rules.</w:t>
      </w:r>
    </w:p>
    <w:p w14:paraId="1431E3AE" w14:textId="77777777" w:rsidR="00791105" w:rsidRDefault="00791105" w:rsidP="00DE56C1">
      <w:pPr>
        <w:pStyle w:val="NoSpacing"/>
        <w:spacing w:line="300" w:lineRule="exact"/>
        <w:ind w:left="709"/>
        <w:jc w:val="both"/>
        <w:rPr>
          <w:rFonts w:cstheme="minorHAnsi"/>
        </w:rPr>
      </w:pPr>
    </w:p>
    <w:p w14:paraId="58F84EB2" w14:textId="77777777" w:rsidR="00791105" w:rsidRDefault="00791105" w:rsidP="00DE56C1">
      <w:pPr>
        <w:pStyle w:val="NoSpacing"/>
        <w:spacing w:line="300" w:lineRule="exact"/>
        <w:ind w:left="709"/>
        <w:jc w:val="both"/>
        <w:rPr>
          <w:rFonts w:cstheme="minorHAnsi"/>
        </w:rPr>
      </w:pPr>
      <w:r>
        <w:rPr>
          <w:rFonts w:cstheme="minorHAnsi"/>
          <w:b/>
        </w:rPr>
        <w:t>Attitude towards tax planning and level of risk it is prepared to accept</w:t>
      </w:r>
    </w:p>
    <w:p w14:paraId="48EFDD41" w14:textId="77777777" w:rsidR="00791105" w:rsidRDefault="00791105" w:rsidP="00DE56C1">
      <w:pPr>
        <w:pStyle w:val="NoSpacing"/>
        <w:spacing w:line="300" w:lineRule="exact"/>
        <w:ind w:left="709"/>
        <w:jc w:val="both"/>
        <w:rPr>
          <w:rFonts w:cstheme="minorHAnsi"/>
        </w:rPr>
      </w:pPr>
    </w:p>
    <w:p w14:paraId="3507D13E" w14:textId="77777777" w:rsidR="00791105" w:rsidRDefault="00791105" w:rsidP="00791105">
      <w:pPr>
        <w:pStyle w:val="NoSpacing"/>
        <w:spacing w:line="300" w:lineRule="exact"/>
        <w:ind w:left="709"/>
        <w:jc w:val="both"/>
        <w:rPr>
          <w:rFonts w:cstheme="minorHAnsi"/>
        </w:rPr>
      </w:pPr>
      <w:r>
        <w:rPr>
          <w:rFonts w:cstheme="minorHAnsi"/>
        </w:rPr>
        <w:t>We expect to maintain a low risk rating with HMRC.</w:t>
      </w:r>
    </w:p>
    <w:p w14:paraId="07F30E12" w14:textId="77777777" w:rsidR="00791105" w:rsidRDefault="00791105" w:rsidP="00791105">
      <w:pPr>
        <w:pStyle w:val="NoSpacing"/>
        <w:spacing w:line="300" w:lineRule="exact"/>
        <w:ind w:left="709"/>
        <w:jc w:val="both"/>
        <w:rPr>
          <w:rFonts w:cstheme="minorHAnsi"/>
        </w:rPr>
      </w:pPr>
    </w:p>
    <w:p w14:paraId="126F7427" w14:textId="77777777" w:rsidR="00791105" w:rsidRDefault="00791105" w:rsidP="00791105">
      <w:pPr>
        <w:pStyle w:val="NoSpacing"/>
        <w:spacing w:line="300" w:lineRule="exact"/>
        <w:ind w:left="709"/>
        <w:jc w:val="both"/>
        <w:rPr>
          <w:rFonts w:cstheme="minorHAnsi"/>
        </w:rPr>
      </w:pPr>
      <w:r>
        <w:rPr>
          <w:rFonts w:cstheme="minorHAnsi"/>
        </w:rPr>
        <w:t>The Group takes a conservative approach to tax planning and does not pursue aggressive tax planning arrangements.  Where alternatives routes exist to achieve the same commercial result the most tax efficient approach in compliance with all relevant laws shall be considered.</w:t>
      </w:r>
    </w:p>
    <w:p w14:paraId="58C7A4B4" w14:textId="77777777" w:rsidR="00791105" w:rsidRDefault="00791105" w:rsidP="00791105">
      <w:pPr>
        <w:pStyle w:val="NoSpacing"/>
        <w:spacing w:line="300" w:lineRule="exact"/>
        <w:ind w:left="709"/>
        <w:jc w:val="both"/>
        <w:rPr>
          <w:rFonts w:cstheme="minorHAnsi"/>
        </w:rPr>
      </w:pPr>
    </w:p>
    <w:p w14:paraId="7E06717E" w14:textId="28A62C33" w:rsidR="00791105" w:rsidRDefault="00791105" w:rsidP="00791105">
      <w:pPr>
        <w:pStyle w:val="NoSpacing"/>
        <w:spacing w:line="300" w:lineRule="exact"/>
        <w:ind w:left="709"/>
        <w:jc w:val="both"/>
        <w:rPr>
          <w:rFonts w:cstheme="minorHAnsi"/>
        </w:rPr>
      </w:pPr>
      <w:r>
        <w:rPr>
          <w:rFonts w:cstheme="minorHAnsi"/>
        </w:rPr>
        <w:t xml:space="preserve">We seek to be efficient in our tax affairs but ensure that any planning is based on sound commercial principles.  We will take advantage of the reliefs and incentives that exist but show respect for the </w:t>
      </w:r>
      <w:r w:rsidR="00AE069C">
        <w:rPr>
          <w:rFonts w:cstheme="minorHAnsi"/>
        </w:rPr>
        <w:t xml:space="preserve">letter </w:t>
      </w:r>
      <w:r>
        <w:rPr>
          <w:rFonts w:cstheme="minorHAnsi"/>
        </w:rPr>
        <w:t xml:space="preserve">of the law, as well as the </w:t>
      </w:r>
      <w:r w:rsidR="00AE069C">
        <w:rPr>
          <w:rFonts w:cstheme="minorHAnsi"/>
        </w:rPr>
        <w:t>intention</w:t>
      </w:r>
      <w:r>
        <w:rPr>
          <w:rFonts w:cstheme="minorHAnsi"/>
        </w:rPr>
        <w:t xml:space="preserve">, </w:t>
      </w:r>
      <w:proofErr w:type="gramStart"/>
      <w:r>
        <w:rPr>
          <w:rFonts w:cstheme="minorHAnsi"/>
        </w:rPr>
        <w:t>at all times</w:t>
      </w:r>
      <w:proofErr w:type="gramEnd"/>
      <w:r>
        <w:rPr>
          <w:rFonts w:cstheme="minorHAnsi"/>
        </w:rPr>
        <w:t>.</w:t>
      </w:r>
    </w:p>
    <w:p w14:paraId="583CE263" w14:textId="77777777" w:rsidR="00791105" w:rsidRDefault="00791105" w:rsidP="00791105">
      <w:pPr>
        <w:pStyle w:val="NoSpacing"/>
        <w:spacing w:line="300" w:lineRule="exact"/>
        <w:ind w:left="709"/>
        <w:jc w:val="both"/>
        <w:rPr>
          <w:rFonts w:cstheme="minorHAnsi"/>
        </w:rPr>
      </w:pPr>
    </w:p>
    <w:p w14:paraId="32C5D44C" w14:textId="77777777" w:rsidR="00791105" w:rsidRDefault="00791105" w:rsidP="00791105">
      <w:pPr>
        <w:pStyle w:val="NoSpacing"/>
        <w:spacing w:line="300" w:lineRule="exact"/>
        <w:ind w:left="709"/>
        <w:jc w:val="both"/>
        <w:rPr>
          <w:rFonts w:cstheme="minorHAnsi"/>
        </w:rPr>
      </w:pPr>
      <w:r>
        <w:rPr>
          <w:rFonts w:cstheme="minorHAnsi"/>
        </w:rPr>
        <w:t>The Group will use incentives and reliefs to minimise the tax costs of conducting its business activities, but will only undertake arrangements which they reasonably believe do not contradict the spirit of the law.  For example, the Group will not undertake transactions for tax which are inconsistent with the underlying economic consequences or undertake marketed avoidance.  The company will not establish business in tax havens.</w:t>
      </w:r>
    </w:p>
    <w:p w14:paraId="6A6E2366" w14:textId="77777777" w:rsidR="00791105" w:rsidRDefault="00791105" w:rsidP="00791105">
      <w:pPr>
        <w:pStyle w:val="NoSpacing"/>
        <w:spacing w:line="300" w:lineRule="exact"/>
        <w:ind w:left="709"/>
        <w:jc w:val="both"/>
        <w:rPr>
          <w:rFonts w:cstheme="minorHAnsi"/>
        </w:rPr>
      </w:pPr>
    </w:p>
    <w:p w14:paraId="1E50FE50" w14:textId="77777777" w:rsidR="00791105" w:rsidRDefault="00791105" w:rsidP="00791105">
      <w:pPr>
        <w:pStyle w:val="NoSpacing"/>
        <w:spacing w:line="300" w:lineRule="exact"/>
        <w:ind w:left="709"/>
        <w:jc w:val="both"/>
        <w:rPr>
          <w:rFonts w:cstheme="minorHAnsi"/>
        </w:rPr>
      </w:pPr>
      <w:r>
        <w:rPr>
          <w:rFonts w:cstheme="minorHAnsi"/>
          <w:b/>
        </w:rPr>
        <w:t>Approach to dealing with HMRC</w:t>
      </w:r>
    </w:p>
    <w:p w14:paraId="2438F903" w14:textId="77777777" w:rsidR="00791105" w:rsidRDefault="00791105" w:rsidP="00791105">
      <w:pPr>
        <w:pStyle w:val="NoSpacing"/>
        <w:spacing w:line="300" w:lineRule="exact"/>
        <w:ind w:left="709"/>
        <w:jc w:val="both"/>
        <w:rPr>
          <w:rFonts w:cstheme="minorHAnsi"/>
        </w:rPr>
      </w:pPr>
    </w:p>
    <w:p w14:paraId="38B5B98A" w14:textId="77777777" w:rsidR="00791105" w:rsidRDefault="00791105" w:rsidP="00791105">
      <w:pPr>
        <w:pStyle w:val="NoSpacing"/>
        <w:spacing w:line="300" w:lineRule="exact"/>
        <w:ind w:left="709"/>
        <w:jc w:val="both"/>
        <w:rPr>
          <w:rFonts w:cstheme="minorHAnsi"/>
        </w:rPr>
      </w:pPr>
      <w:r>
        <w:rPr>
          <w:rFonts w:cstheme="minorHAnsi"/>
        </w:rPr>
        <w:t>We will avoid unnecessary time consuming disputes wherever possible.</w:t>
      </w:r>
    </w:p>
    <w:p w14:paraId="2E9BA79E" w14:textId="77777777" w:rsidR="00E47067" w:rsidRDefault="00E47067" w:rsidP="00791105">
      <w:pPr>
        <w:pStyle w:val="NoSpacing"/>
        <w:spacing w:line="300" w:lineRule="exact"/>
        <w:ind w:left="709"/>
        <w:jc w:val="both"/>
        <w:rPr>
          <w:rFonts w:cstheme="minorHAnsi"/>
        </w:rPr>
      </w:pPr>
    </w:p>
    <w:p w14:paraId="247A32FD" w14:textId="77777777" w:rsidR="00E47067" w:rsidRDefault="00E47067" w:rsidP="00791105">
      <w:pPr>
        <w:pStyle w:val="NoSpacing"/>
        <w:spacing w:line="300" w:lineRule="exact"/>
        <w:ind w:left="709"/>
        <w:jc w:val="both"/>
        <w:rPr>
          <w:rFonts w:cstheme="minorHAnsi"/>
        </w:rPr>
      </w:pPr>
    </w:p>
    <w:p w14:paraId="7F02DE89" w14:textId="77777777" w:rsidR="00E47067" w:rsidRDefault="00E47067" w:rsidP="00791105">
      <w:pPr>
        <w:pStyle w:val="NoSpacing"/>
        <w:spacing w:line="300" w:lineRule="exact"/>
        <w:ind w:left="709"/>
        <w:jc w:val="both"/>
        <w:rPr>
          <w:rFonts w:cstheme="minorHAnsi"/>
        </w:rPr>
      </w:pPr>
    </w:p>
    <w:p w14:paraId="2C202AAD" w14:textId="77777777" w:rsidR="00E47067" w:rsidRDefault="00E47067" w:rsidP="00791105">
      <w:pPr>
        <w:pStyle w:val="NoSpacing"/>
        <w:spacing w:line="300" w:lineRule="exact"/>
        <w:ind w:left="709"/>
        <w:jc w:val="both"/>
        <w:rPr>
          <w:rFonts w:cstheme="minorHAnsi"/>
        </w:rPr>
      </w:pPr>
    </w:p>
    <w:p w14:paraId="691200E4" w14:textId="77777777" w:rsidR="00E47067" w:rsidRDefault="00E47067" w:rsidP="00791105">
      <w:pPr>
        <w:pStyle w:val="NoSpacing"/>
        <w:spacing w:line="300" w:lineRule="exact"/>
        <w:ind w:left="709"/>
        <w:jc w:val="both"/>
        <w:rPr>
          <w:rFonts w:cstheme="minorHAnsi"/>
        </w:rPr>
      </w:pPr>
    </w:p>
    <w:p w14:paraId="72B9270E" w14:textId="77777777" w:rsidR="00791105" w:rsidRDefault="00791105" w:rsidP="00791105">
      <w:pPr>
        <w:pStyle w:val="NoSpacing"/>
        <w:spacing w:line="300" w:lineRule="exact"/>
        <w:ind w:left="709"/>
        <w:jc w:val="both"/>
        <w:rPr>
          <w:rFonts w:cstheme="minorHAnsi"/>
        </w:rPr>
      </w:pPr>
    </w:p>
    <w:p w14:paraId="441C4A6F" w14:textId="77777777" w:rsidR="00791105" w:rsidRDefault="00791105" w:rsidP="00791105">
      <w:pPr>
        <w:pStyle w:val="NoSpacing"/>
        <w:spacing w:line="300" w:lineRule="exact"/>
        <w:ind w:left="709"/>
        <w:jc w:val="both"/>
        <w:rPr>
          <w:rFonts w:cstheme="minorHAnsi"/>
        </w:rPr>
      </w:pPr>
      <w:r>
        <w:rPr>
          <w:rFonts w:cstheme="minorHAnsi"/>
        </w:rPr>
        <w:lastRenderedPageBreak/>
        <w:t xml:space="preserve">We are committed to working in a collaborative, transparent and proactive way with HMRC at all times.   </w:t>
      </w:r>
      <w:r w:rsidR="00E47067">
        <w:rPr>
          <w:rFonts w:cstheme="minorHAnsi"/>
        </w:rPr>
        <w:t xml:space="preserve">  We adopt the principles of openness and transparency in our approach to dealing with HMRC and believe in engaging in full, open and early dialogue with HMRC to discuss the Group’s tax affairs.  The Group is committed to making fair, accurate and timely disclosure in correspondence and returns, and respond to queries raised by HMRC in a timely manner with the aim to resolve</w:t>
      </w:r>
      <w:r w:rsidR="0067081B">
        <w:rPr>
          <w:rFonts w:cstheme="minorHAnsi"/>
        </w:rPr>
        <w:t xml:space="preserve"> issues </w:t>
      </w:r>
      <w:r w:rsidR="00E47067">
        <w:rPr>
          <w:rFonts w:cstheme="minorHAnsi"/>
        </w:rPr>
        <w:t>quickly and efficiently, with certainty wherever possible.</w:t>
      </w:r>
    </w:p>
    <w:p w14:paraId="0C605207" w14:textId="77777777" w:rsidR="00E47067" w:rsidRDefault="00E47067" w:rsidP="00791105">
      <w:pPr>
        <w:pStyle w:val="NoSpacing"/>
        <w:spacing w:line="300" w:lineRule="exact"/>
        <w:ind w:left="709"/>
        <w:jc w:val="both"/>
        <w:rPr>
          <w:rFonts w:cstheme="minorHAnsi"/>
        </w:rPr>
      </w:pPr>
    </w:p>
    <w:p w14:paraId="663797E1" w14:textId="77777777" w:rsidR="00E47067" w:rsidRDefault="00E47067" w:rsidP="00791105">
      <w:pPr>
        <w:pStyle w:val="NoSpacing"/>
        <w:spacing w:line="300" w:lineRule="exact"/>
        <w:ind w:left="709"/>
        <w:jc w:val="both"/>
        <w:rPr>
          <w:rFonts w:cstheme="minorHAnsi"/>
        </w:rPr>
      </w:pPr>
      <w:r>
        <w:rPr>
          <w:rFonts w:cstheme="minorHAnsi"/>
          <w:b/>
        </w:rPr>
        <w:t>Duty under Finance Act 2016</w:t>
      </w:r>
    </w:p>
    <w:p w14:paraId="7DCA7B8F" w14:textId="77777777" w:rsidR="00E47067" w:rsidRDefault="00E47067" w:rsidP="00791105">
      <w:pPr>
        <w:pStyle w:val="NoSpacing"/>
        <w:spacing w:line="300" w:lineRule="exact"/>
        <w:ind w:left="709"/>
        <w:jc w:val="both"/>
        <w:rPr>
          <w:rFonts w:cstheme="minorHAnsi"/>
        </w:rPr>
      </w:pPr>
    </w:p>
    <w:p w14:paraId="5BF32192" w14:textId="77777777" w:rsidR="00E47067" w:rsidRDefault="00E47067" w:rsidP="00791105">
      <w:pPr>
        <w:pStyle w:val="NoSpacing"/>
        <w:spacing w:line="300" w:lineRule="exact"/>
        <w:ind w:left="709"/>
        <w:jc w:val="both"/>
        <w:rPr>
          <w:rFonts w:cstheme="minorHAnsi"/>
        </w:rPr>
      </w:pPr>
      <w:r>
        <w:rPr>
          <w:rFonts w:cstheme="minorHAnsi"/>
        </w:rPr>
        <w:t>The Group considers that this publication complies with its duty under Schedule 19 Finance Act 2016.</w:t>
      </w:r>
    </w:p>
    <w:p w14:paraId="195BCB5D" w14:textId="77777777" w:rsidR="00E47067" w:rsidRDefault="00E47067" w:rsidP="00791105">
      <w:pPr>
        <w:pStyle w:val="NoSpacing"/>
        <w:spacing w:line="300" w:lineRule="exact"/>
        <w:ind w:left="709"/>
        <w:jc w:val="both"/>
        <w:rPr>
          <w:rFonts w:cstheme="minorHAnsi"/>
        </w:rPr>
      </w:pPr>
    </w:p>
    <w:p w14:paraId="719562C8" w14:textId="77777777" w:rsidR="00E47067" w:rsidRPr="00E47067" w:rsidRDefault="00E47067" w:rsidP="00791105">
      <w:pPr>
        <w:pStyle w:val="NoSpacing"/>
        <w:spacing w:line="300" w:lineRule="exact"/>
        <w:ind w:left="709"/>
        <w:jc w:val="both"/>
        <w:rPr>
          <w:rFonts w:cstheme="minorHAnsi"/>
        </w:rPr>
      </w:pPr>
    </w:p>
    <w:p w14:paraId="0AFB951C" w14:textId="77777777" w:rsidR="00E47067" w:rsidRDefault="00E47067" w:rsidP="00791105">
      <w:pPr>
        <w:pStyle w:val="NoSpacing"/>
        <w:spacing w:line="300" w:lineRule="exact"/>
        <w:ind w:left="709"/>
        <w:jc w:val="both"/>
        <w:rPr>
          <w:rFonts w:cstheme="minorHAnsi"/>
        </w:rPr>
      </w:pPr>
    </w:p>
    <w:p w14:paraId="70940FC9" w14:textId="77777777" w:rsidR="00E47067" w:rsidRPr="00791105" w:rsidRDefault="00E47067" w:rsidP="00791105">
      <w:pPr>
        <w:pStyle w:val="NoSpacing"/>
        <w:spacing w:line="300" w:lineRule="exact"/>
        <w:ind w:left="709"/>
        <w:jc w:val="both"/>
        <w:rPr>
          <w:rFonts w:cstheme="minorHAnsi"/>
        </w:rPr>
      </w:pPr>
    </w:p>
    <w:p w14:paraId="7B2E9032" w14:textId="77777777" w:rsidR="00DE56C1" w:rsidRDefault="00DE56C1" w:rsidP="00DE56C1">
      <w:pPr>
        <w:pStyle w:val="NoSpacing"/>
        <w:spacing w:line="300" w:lineRule="exact"/>
        <w:ind w:left="709"/>
        <w:jc w:val="both"/>
        <w:rPr>
          <w:rFonts w:cstheme="minorHAnsi"/>
        </w:rPr>
      </w:pPr>
    </w:p>
    <w:p w14:paraId="445EC9DF" w14:textId="77777777" w:rsidR="00DE56C1" w:rsidRPr="00DE56C1" w:rsidRDefault="00DE56C1" w:rsidP="00DE56C1">
      <w:pPr>
        <w:pStyle w:val="NoSpacing"/>
        <w:spacing w:line="300" w:lineRule="exact"/>
        <w:ind w:left="709"/>
        <w:jc w:val="both"/>
        <w:rPr>
          <w:rFonts w:cstheme="minorHAnsi"/>
        </w:rPr>
      </w:pPr>
    </w:p>
    <w:p w14:paraId="037345A9" w14:textId="77777777" w:rsidR="007F361C" w:rsidRDefault="007F361C" w:rsidP="007F361C">
      <w:pPr>
        <w:pStyle w:val="NoSpacing"/>
        <w:spacing w:line="300" w:lineRule="exact"/>
        <w:jc w:val="both"/>
        <w:rPr>
          <w:rFonts w:cstheme="minorHAnsi"/>
          <w:b/>
        </w:rPr>
      </w:pPr>
    </w:p>
    <w:p w14:paraId="7844091B" w14:textId="77777777" w:rsidR="007F361C" w:rsidRDefault="007F361C" w:rsidP="007F361C">
      <w:pPr>
        <w:pStyle w:val="NoSpacing"/>
        <w:spacing w:line="300" w:lineRule="exact"/>
        <w:jc w:val="both"/>
        <w:rPr>
          <w:rFonts w:cstheme="minorHAnsi"/>
          <w:b/>
        </w:rPr>
      </w:pPr>
    </w:p>
    <w:p w14:paraId="651E5129" w14:textId="77777777" w:rsidR="007F361C" w:rsidRPr="007F361C" w:rsidRDefault="007F361C" w:rsidP="007F361C">
      <w:pPr>
        <w:pStyle w:val="NoSpacing"/>
        <w:spacing w:line="300" w:lineRule="exact"/>
        <w:jc w:val="both"/>
        <w:rPr>
          <w:rFonts w:cstheme="minorHAnsi"/>
          <w:b/>
        </w:rPr>
      </w:pPr>
    </w:p>
    <w:p w14:paraId="571C7194" w14:textId="77777777" w:rsidR="007F361C" w:rsidRDefault="007F361C" w:rsidP="007F361C">
      <w:pPr>
        <w:pStyle w:val="NoSpacing"/>
        <w:spacing w:line="300" w:lineRule="exact"/>
        <w:jc w:val="both"/>
        <w:rPr>
          <w:rFonts w:cstheme="minorHAnsi"/>
        </w:rPr>
      </w:pPr>
    </w:p>
    <w:p w14:paraId="793E12E1" w14:textId="77777777" w:rsidR="007F361C" w:rsidRPr="007F361C" w:rsidRDefault="007F361C" w:rsidP="007F361C">
      <w:pPr>
        <w:pStyle w:val="NoSpacing"/>
        <w:spacing w:line="300" w:lineRule="exact"/>
        <w:jc w:val="both"/>
        <w:rPr>
          <w:rFonts w:cstheme="minorHAnsi"/>
        </w:rPr>
      </w:pPr>
    </w:p>
    <w:p w14:paraId="5D6732F4" w14:textId="77777777" w:rsidR="007F361C" w:rsidRDefault="007F361C" w:rsidP="007F361C">
      <w:pPr>
        <w:pStyle w:val="NoSpacing"/>
        <w:spacing w:line="300" w:lineRule="exact"/>
        <w:jc w:val="both"/>
        <w:rPr>
          <w:rFonts w:cstheme="minorHAnsi"/>
        </w:rPr>
      </w:pPr>
    </w:p>
    <w:p w14:paraId="5B1AA629" w14:textId="77777777" w:rsidR="007F361C" w:rsidRPr="007F361C" w:rsidRDefault="007F361C" w:rsidP="007F361C">
      <w:pPr>
        <w:pStyle w:val="NoSpacing"/>
        <w:spacing w:line="300" w:lineRule="exact"/>
        <w:jc w:val="both"/>
        <w:rPr>
          <w:rFonts w:cstheme="minorHAnsi"/>
        </w:rPr>
      </w:pPr>
    </w:p>
    <w:p w14:paraId="286565D6" w14:textId="77777777" w:rsidR="00302076" w:rsidRDefault="00302076" w:rsidP="00302076">
      <w:pPr>
        <w:pStyle w:val="NoSpacing"/>
        <w:spacing w:line="300" w:lineRule="exact"/>
        <w:jc w:val="both"/>
        <w:rPr>
          <w:rFonts w:cstheme="minorHAnsi"/>
        </w:rPr>
      </w:pPr>
    </w:p>
    <w:p w14:paraId="55008EA5" w14:textId="77777777" w:rsidR="00302076" w:rsidRDefault="00302076" w:rsidP="00302076">
      <w:pPr>
        <w:pStyle w:val="NoSpacing"/>
        <w:spacing w:line="300" w:lineRule="exact"/>
        <w:jc w:val="both"/>
        <w:rPr>
          <w:rFonts w:cstheme="minorHAnsi"/>
        </w:rPr>
      </w:pPr>
    </w:p>
    <w:p w14:paraId="116D29DC" w14:textId="77777777" w:rsidR="00302076" w:rsidRPr="00302076" w:rsidRDefault="00302076" w:rsidP="00302076">
      <w:pPr>
        <w:pStyle w:val="NoSpacing"/>
        <w:spacing w:line="300" w:lineRule="exact"/>
        <w:jc w:val="both"/>
        <w:rPr>
          <w:rFonts w:cstheme="minorHAnsi"/>
        </w:rPr>
      </w:pPr>
    </w:p>
    <w:sectPr w:rsidR="00302076" w:rsidRPr="00302076" w:rsidSect="0030207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1679" w14:textId="77777777" w:rsidR="00FE4E5E" w:rsidRDefault="00FE4E5E" w:rsidP="00A62818">
      <w:pPr>
        <w:spacing w:after="0" w:line="240" w:lineRule="auto"/>
      </w:pPr>
      <w:r>
        <w:separator/>
      </w:r>
    </w:p>
  </w:endnote>
  <w:endnote w:type="continuationSeparator" w:id="0">
    <w:p w14:paraId="2585AD46" w14:textId="77777777" w:rsidR="00FE4E5E" w:rsidRDefault="00FE4E5E" w:rsidP="00A6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77C5" w14:textId="77777777" w:rsidR="00AE069C" w:rsidRDefault="00AE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C733" w14:textId="77777777" w:rsidR="00A62818" w:rsidRPr="0052032D" w:rsidRDefault="0052032D" w:rsidP="0052032D">
    <w:pPr>
      <w:tabs>
        <w:tab w:val="right" w:pos="9498"/>
      </w:tabs>
      <w:rPr>
        <w:rFonts w:ascii="Arial" w:hAnsi="Arial" w:cs="Arial"/>
        <w:color w:val="BFBFBF" w:themeColor="background1" w:themeShade="BF"/>
        <w:sz w:val="16"/>
        <w:szCs w:val="16"/>
      </w:rPr>
    </w:pPr>
    <w:r>
      <w:rPr>
        <w:rFonts w:ascii="Arial" w:hAnsi="Arial" w:cs="Arial"/>
        <w:noProof/>
        <w:color w:val="BFBFBF" w:themeColor="background1" w:themeShade="BF"/>
        <w:sz w:val="16"/>
        <w:szCs w:val="16"/>
      </w:rPr>
      <w:tab/>
    </w:r>
    <w:r w:rsidR="00193B9F">
      <w:rPr>
        <w:rFonts w:ascii="Arial" w:hAnsi="Arial" w:cs="Arial"/>
        <w:noProof/>
        <w:color w:val="BFBFBF" w:themeColor="background1" w:themeShade="BF"/>
        <w:sz w:val="16"/>
        <w:szCs w:val="16"/>
      </w:rPr>
      <w:t>DJB</w:t>
    </w:r>
    <w:r>
      <w:rPr>
        <w:rFonts w:ascii="Arial" w:hAnsi="Arial" w:cs="Arial"/>
        <w:noProof/>
        <w:color w:val="BFBFBF" w:themeColor="background1" w:themeShade="BF"/>
        <w:sz w:val="16"/>
        <w:szCs w:val="16"/>
      </w:rPr>
      <w:t>/</w:t>
    </w:r>
    <w:r w:rsidR="00193B9F">
      <w:rPr>
        <w:rFonts w:ascii="Arial" w:hAnsi="Arial" w:cs="Arial"/>
        <w:noProof/>
        <w:color w:val="BFBFBF" w:themeColor="background1" w:themeShade="BF"/>
        <w:sz w:val="16"/>
        <w:szCs w:val="16"/>
      </w:rPr>
      <w:t>RJG</w:t>
    </w:r>
    <w:r>
      <w:rPr>
        <w:rFonts w:ascii="Arial" w:hAnsi="Arial" w:cs="Arial"/>
        <w:noProof/>
        <w:color w:val="BFBFBF" w:themeColor="background1" w:themeShade="BF"/>
        <w:sz w:val="16"/>
        <w:szCs w:val="16"/>
      </w:rPr>
      <w:t>/</w:t>
    </w:r>
    <w:r w:rsidR="00193B9F">
      <w:rPr>
        <w:rFonts w:ascii="Arial" w:hAnsi="Arial" w:cs="Arial"/>
        <w:noProof/>
        <w:color w:val="BFBFBF" w:themeColor="background1" w:themeShade="BF"/>
        <w:sz w:val="16"/>
        <w:szCs w:val="16"/>
      </w:rPr>
      <w:t>TJC</w:t>
    </w:r>
    <w:r>
      <w:rPr>
        <w:rFonts w:ascii="Arial" w:hAnsi="Arial" w:cs="Arial"/>
        <w:noProof/>
        <w:color w:val="BFBFBF" w:themeColor="background1" w:themeShade="BF"/>
        <w:sz w:val="16"/>
        <w:szCs w:val="16"/>
      </w:rPr>
      <w:t>/</w:t>
    </w:r>
    <w:r w:rsidR="00193B9F">
      <w:rPr>
        <w:rFonts w:ascii="Arial" w:hAnsi="Arial" w:cs="Arial"/>
        <w:noProof/>
        <w:color w:val="BFBFBF" w:themeColor="background1" w:themeShade="BF"/>
        <w:sz w:val="16"/>
        <w:szCs w:val="16"/>
      </w:rPr>
      <w:t>054644</w:t>
    </w:r>
  </w:p>
  <w:p w14:paraId="69A6EC35" w14:textId="77777777" w:rsidR="00A62818" w:rsidRDefault="00A62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82F" w14:textId="77777777" w:rsidR="00AE069C" w:rsidRDefault="00AE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A959" w14:textId="77777777" w:rsidR="00FE4E5E" w:rsidRDefault="00FE4E5E" w:rsidP="00A62818">
      <w:pPr>
        <w:spacing w:after="0" w:line="240" w:lineRule="auto"/>
      </w:pPr>
      <w:r>
        <w:separator/>
      </w:r>
    </w:p>
  </w:footnote>
  <w:footnote w:type="continuationSeparator" w:id="0">
    <w:p w14:paraId="05E1EA03" w14:textId="77777777" w:rsidR="00FE4E5E" w:rsidRDefault="00FE4E5E" w:rsidP="00A6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891" w14:textId="77777777" w:rsidR="00AE069C" w:rsidRDefault="00AE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A84E" w14:textId="77777777" w:rsidR="00AE069C" w:rsidRDefault="00AE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2FD9" w14:textId="77777777" w:rsidR="00AE069C" w:rsidRDefault="00AE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4342F"/>
    <w:multiLevelType w:val="multilevel"/>
    <w:tmpl w:val="70C6BB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C5F"/>
    <w:rsid w:val="00193B9F"/>
    <w:rsid w:val="00302076"/>
    <w:rsid w:val="0052032D"/>
    <w:rsid w:val="005B3F93"/>
    <w:rsid w:val="00627EBE"/>
    <w:rsid w:val="0067081B"/>
    <w:rsid w:val="00683323"/>
    <w:rsid w:val="006E5B7A"/>
    <w:rsid w:val="00773814"/>
    <w:rsid w:val="007904E9"/>
    <w:rsid w:val="00791105"/>
    <w:rsid w:val="007F361C"/>
    <w:rsid w:val="007F6AB7"/>
    <w:rsid w:val="0092745F"/>
    <w:rsid w:val="00A53058"/>
    <w:rsid w:val="00A62818"/>
    <w:rsid w:val="00AE069C"/>
    <w:rsid w:val="00CD1770"/>
    <w:rsid w:val="00DE56C1"/>
    <w:rsid w:val="00E14ACF"/>
    <w:rsid w:val="00E47067"/>
    <w:rsid w:val="00FD7C5F"/>
    <w:rsid w:val="00FE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22088"/>
  <w15:docId w15:val="{C39E2F99-C11F-4FEF-8CA6-64C35A43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818"/>
  </w:style>
  <w:style w:type="paragraph" w:styleId="Footer">
    <w:name w:val="footer"/>
    <w:basedOn w:val="Normal"/>
    <w:link w:val="FooterChar"/>
    <w:uiPriority w:val="99"/>
    <w:unhideWhenUsed/>
    <w:rsid w:val="00A62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818"/>
  </w:style>
  <w:style w:type="paragraph" w:styleId="BalloonText">
    <w:name w:val="Balloon Text"/>
    <w:basedOn w:val="Normal"/>
    <w:link w:val="BalloonTextChar"/>
    <w:uiPriority w:val="99"/>
    <w:semiHidden/>
    <w:unhideWhenUsed/>
    <w:rsid w:val="00A6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18"/>
    <w:rPr>
      <w:rFonts w:ascii="Tahoma" w:hAnsi="Tahoma" w:cs="Tahoma"/>
      <w:sz w:val="16"/>
      <w:szCs w:val="16"/>
    </w:rPr>
  </w:style>
  <w:style w:type="paragraph" w:styleId="NoSpacing">
    <w:name w:val="No Spacing"/>
    <w:uiPriority w:val="1"/>
    <w:qFormat/>
    <w:rsid w:val="00627EBE"/>
    <w:pPr>
      <w:spacing w:after="0" w:line="240" w:lineRule="auto"/>
    </w:pPr>
  </w:style>
  <w:style w:type="character" w:styleId="CommentReference">
    <w:name w:val="annotation reference"/>
    <w:basedOn w:val="DefaultParagraphFont"/>
    <w:uiPriority w:val="99"/>
    <w:semiHidden/>
    <w:unhideWhenUsed/>
    <w:rsid w:val="00AE069C"/>
    <w:rPr>
      <w:sz w:val="16"/>
      <w:szCs w:val="16"/>
    </w:rPr>
  </w:style>
  <w:style w:type="paragraph" w:styleId="CommentText">
    <w:name w:val="annotation text"/>
    <w:basedOn w:val="Normal"/>
    <w:link w:val="CommentTextChar"/>
    <w:uiPriority w:val="99"/>
    <w:semiHidden/>
    <w:unhideWhenUsed/>
    <w:rsid w:val="00AE069C"/>
    <w:pPr>
      <w:spacing w:line="240" w:lineRule="auto"/>
    </w:pPr>
    <w:rPr>
      <w:sz w:val="20"/>
      <w:szCs w:val="20"/>
    </w:rPr>
  </w:style>
  <w:style w:type="character" w:customStyle="1" w:styleId="CommentTextChar">
    <w:name w:val="Comment Text Char"/>
    <w:basedOn w:val="DefaultParagraphFont"/>
    <w:link w:val="CommentText"/>
    <w:uiPriority w:val="99"/>
    <w:semiHidden/>
    <w:rsid w:val="00AE069C"/>
    <w:rPr>
      <w:sz w:val="20"/>
      <w:szCs w:val="20"/>
    </w:rPr>
  </w:style>
  <w:style w:type="paragraph" w:styleId="CommentSubject">
    <w:name w:val="annotation subject"/>
    <w:basedOn w:val="CommentText"/>
    <w:next w:val="CommentText"/>
    <w:link w:val="CommentSubjectChar"/>
    <w:uiPriority w:val="99"/>
    <w:semiHidden/>
    <w:unhideWhenUsed/>
    <w:rsid w:val="00AE069C"/>
    <w:rPr>
      <w:b/>
      <w:bCs/>
    </w:rPr>
  </w:style>
  <w:style w:type="character" w:customStyle="1" w:styleId="CommentSubjectChar">
    <w:name w:val="Comment Subject Char"/>
    <w:basedOn w:val="CommentTextChar"/>
    <w:link w:val="CommentSubject"/>
    <w:uiPriority w:val="99"/>
    <w:semiHidden/>
    <w:rsid w:val="00AE0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50B78A8259D428DA67CEDB23503F7" ma:contentTypeVersion="10" ma:contentTypeDescription="Create a new document." ma:contentTypeScope="" ma:versionID="2f45035c5148a03b6a254ef816fb5c45">
  <xsd:schema xmlns:xsd="http://www.w3.org/2001/XMLSchema" xmlns:xs="http://www.w3.org/2001/XMLSchema" xmlns:p="http://schemas.microsoft.com/office/2006/metadata/properties" xmlns:ns3="040e9800-81d2-4098-a9b3-5f9ec4c089f1" targetNamespace="http://schemas.microsoft.com/office/2006/metadata/properties" ma:root="true" ma:fieldsID="7c5723540a84d8b6af2d48d27995dd28" ns3:_="">
    <xsd:import namespace="040e9800-81d2-4098-a9b3-5f9ec4c0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9800-81d2-4098-a9b3-5f9ec4c0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2CC8-724C-4D2B-943C-D63273129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9800-81d2-4098-a9b3-5f9ec4c0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4D89-5FC2-4E5F-A8C5-ADE25F6E9BC8}">
  <ds:schemaRefs>
    <ds:schemaRef ds:uri="http://schemas.microsoft.com/sharepoint/v3/contenttype/forms"/>
  </ds:schemaRefs>
</ds:datastoreItem>
</file>

<file path=customXml/itemProps3.xml><?xml version="1.0" encoding="utf-8"?>
<ds:datastoreItem xmlns:ds="http://schemas.openxmlformats.org/officeDocument/2006/customXml" ds:itemID="{7B746814-0629-4B37-AAB2-CDD9C6EB4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Lovewell Blake LLP</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Renshaw</dc:creator>
  <cp:keywords/>
  <dc:description/>
  <cp:lastModifiedBy>Hanson, Jeff (BW-Mpls)</cp:lastModifiedBy>
  <cp:revision>2</cp:revision>
  <cp:lastPrinted>2018-06-20T13:31:00Z</cp:lastPrinted>
  <dcterms:created xsi:type="dcterms:W3CDTF">2019-12-30T20:45:00Z</dcterms:created>
  <dcterms:modified xsi:type="dcterms:W3CDTF">2019-12-30T20:45:00Z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0x010100E0350B78A8259D428DA67CEDB23503F7</vt:lpwstr>
  </property>
</Properties>
</file>